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t xml:space="preserve">Modèle 2 : politique IA et outils autorisés</w:t>
      </w:r>
    </w:p>
    <w:p>
      <w:pPr>
        <w:pStyle w:val="Normal"/>
      </w:pPr>
      <w:r>
        <w:rPr/>
        <w:t xml:space="preserve">Titre               Politique d'utilisation de l'intelligence artificielle
Version             n°, date, validée par (direction générale), prochaine revue
Destinataires       salariés, intérimaires, prestataires ayant un accès au SI</w:t>
      </w:r>
    </w:p>
    <w:p>
      <w:pPr>
        <w:pStyle w:val="Heading"/>
      </w:pPr>
      <w:r>
        <w:rPr/>
        <w:t xml:space="preserve">1. Objet et engagements</w:t>
      </w:r>
    </w:p>
    <w:p>
      <w:pPr>
        <w:pStyle w:val="Normal"/>
      </w:pPr>
      <w:r>
        <w:rPr/>
        <w:t xml:space="preserve">Pourquoi l'organisation utilise l'IA. Engagements : respect des exigences légales et
contractuelles, amélioration continue, objectifs IA fixés et revus chaque année.</w:t>
      </w:r>
    </w:p>
    <w:p>
      <w:pPr>
        <w:pStyle w:val="Heading"/>
      </w:pPr>
      <w:r>
        <w:rPr/>
        <w:t xml:space="preserve">2. Champ</w:t>
      </w:r>
    </w:p>
    <w:p>
      <w:pPr>
        <w:pStyle w:val="Normal"/>
      </w:pPr>
      <w:r>
        <w:rPr/>
        <w:t xml:space="preserve">Systèmes et usages couverts (renvoi au périmètre, modèle 1).</w:t>
      </w:r>
    </w:p>
    <w:p>
      <w:pPr>
        <w:pStyle w:val="Heading"/>
      </w:pPr>
      <w:r>
        <w:rPr/>
        <w:t xml:space="preserve">3. Principes</w:t>
      </w:r>
    </w:p>
    <w:p>
      <w:pPr>
        <w:pStyle w:val="Normal"/>
      </w:pPr>
      <w:r>
        <w:rPr/>
        <w:t xml:space="preserve">4 à 6 principes, chacun traduit en règle vérifiable. Exemple : « supervision humaine » devient
« aucune décision défavorable à un client n'est prise par un système IA sans validation humaine ».</w:t>
      </w:r>
    </w:p>
    <w:p>
      <w:pPr>
        <w:pStyle w:val="Heading"/>
      </w:pPr>
      <w:r>
        <w:rPr/>
        <w:t xml:space="preserve">4. Rôles</w:t>
      </w:r>
    </w:p>
    <w:p>
      <w:pPr>
        <w:pStyle w:val="Normal"/>
      </w:pPr>
      <w:r>
        <w:rPr/>
        <w:t xml:space="preserve">Direction générale      valide la politique, arbitre les exceptions</w:t>
      </w:r>
    </w:p>
    <w:p>
      <w:pPr>
        <w:pStyle w:val="Normal"/>
      </w:pPr>
      <w:r>
        <w:rPr/>
        <w:t xml:space="preserve">Référent IA             tient l'inventaire et la liste des outils, instruit les demandes</w:t>
      </w:r>
    </w:p>
    <w:p>
      <w:pPr>
        <w:pStyle w:val="Normal"/>
      </w:pPr>
      <w:r>
        <w:rPr/>
        <w:t xml:space="preserve">RSSI, DPO               avis sécurité et données personnelles sur chaque demande</w:t>
      </w:r>
    </w:p>
    <w:p>
      <w:pPr>
        <w:pStyle w:val="Normal"/>
      </w:pPr>
      <w:r>
        <w:rPr/>
        <w:t xml:space="preserve">Managers                font appliquer la politique dans leur équipe</w:t>
      </w:r>
    </w:p>
    <w:p>
      <w:pPr>
        <w:pStyle w:val="Normal"/>
      </w:pPr>
      <w:r>
        <w:rPr/>
        <w:t xml:space="preserve">Chaque utilisateur      respecte la liste, signale tout problème</w:t>
      </w:r>
    </w:p>
    <w:p>
      <w:pPr>
        <w:pStyle w:val="Heading"/>
      </w:pPr>
      <w:r>
        <w:rPr/>
        <w:t xml:space="preserve">5. Outils autorisés</w:t>
      </w:r>
    </w:p>
    <w:p>
      <w:pPr>
        <w:pStyle w:val="Normal"/>
      </w:pPr>
      <w:r>
        <w:rPr/>
        <w:t xml:space="preserve">Renvoi à l'annexe 1. Règle : un outil absent de la liste est interdit. Le critère est le couple
outil x niveau de données.</w:t>
      </w:r>
    </w:p>
    <w:p>
      <w:pPr>
        <w:pStyle w:val="Heading"/>
      </w:pPr>
      <w:r>
        <w:rPr/>
        <w:t xml:space="preserve">6. Interdits</w:t>
      </w:r>
    </w:p>
    <w:p>
      <w:pPr>
        <w:pStyle w:val="Normal"/>
      </w:pPr>
      <w:r>
        <w:rPr/>
        <w:t xml:space="preserve">Liste courte et explicite.</w:t>
      </w:r>
    </w:p>
    <w:p>
      <w:pPr>
        <w:pStyle w:val="Heading"/>
      </w:pPr>
      <w:r>
        <w:rPr/>
        <w:t xml:space="preserve">7. Demander un nouvel outil</w:t>
      </w:r>
    </w:p>
    <w:p>
      <w:pPr>
        <w:pStyle w:val="Normal"/>
      </w:pPr>
      <w:r>
        <w:rPr/>
        <w:t xml:space="preserve">Formulaire, évaluation (référent IA, RSSI, DPO), délai de réponse, inscription dans la liste.</w:t>
      </w:r>
    </w:p>
    <w:p>
      <w:pPr>
        <w:pStyle w:val="Heading"/>
      </w:pPr>
      <w:r>
        <w:rPr/>
        <w:t xml:space="preserve">8. Signaler un problème</w:t>
      </w:r>
    </w:p>
    <w:p>
      <w:pPr>
        <w:pStyle w:val="Normal"/>
      </w:pPr>
      <w:r>
        <w:rPr/>
        <w:t xml:space="preserve">Canal, confidentialité, absence de représailles pour un signalement de bonne foi.</w:t>
      </w:r>
    </w:p>
    <w:p>
      <w:pPr>
        <w:pStyle w:val="Heading"/>
      </w:pPr>
      <w:r>
        <w:rPr/>
        <w:t xml:space="preserve">9. Non-respect</w:t>
      </w:r>
    </w:p>
    <w:p>
      <w:pPr>
        <w:pStyle w:val="Normal"/>
      </w:pPr>
      <w:r>
        <w:rPr/>
        <w:t xml:space="preserve">Mesures adaptées à la gravité et au contexte, dans le respect de la procédure disciplinaire
et du règlement intérieur applicable. Éviter une progression automatique qui empêcherait
de traiter un premier manquement grave. Validation des clauses par un juriste en droit du travail.</w:t>
      </w:r>
    </w:p>
    <w:p>
      <w:pPr>
        <w:pStyle w:val="Heading"/>
      </w:pPr>
      <w:r>
        <w:rPr/>
        <w:t xml:space="preserve">10. Revue</w:t>
      </w:r>
    </w:p>
    <w:p>
      <w:pPr>
        <w:pStyle w:val="Normal"/>
      </w:pPr>
      <w:r>
        <w:rPr/>
        <w:t xml:space="preserve">Fréquence, déclencheurs, responsable.</w:t>
      </w:r>
    </w:p>
    <w:p>
      <w:pPr>
        <w:pStyle w:val="Heading"/>
      </w:pPr>
      <w:r>
        <w:rPr/>
        <w:t xml:space="preserve">11. Dérogations</w:t>
      </w:r>
    </w:p>
    <w:p>
      <w:pPr>
        <w:pStyle w:val="Normal"/>
      </w:pPr>
      <w:r>
        <w:rPr/>
        <w:t xml:space="preserve">Demande écrite et motivée, appréciation du risque, décision par une instance nommée, mesures
compensatoires, date de fin, suivi ; registre des dérogations revu à chaque revue de politique
(annexe B, A.2.2).</w:t>
      </w:r>
    </w:p>
    <w:p>
      <w:pPr>
        <w:pStyle w:val="Heading"/>
      </w:pPr>
      <w:r>
        <w:rPr/>
        <w:t xml:space="preserve">Annexe 1 : liste des outils autorisés</w:t>
      </w:r>
    </w:p>
    <w:p>
      <w:pPr>
        <w:pStyle w:val="Normal"/>
      </w:pPr>
      <w:r>
        <w:rPr/>
        <w:t xml:space="preserve">Outil, offre       usages permis        niveau de données max      conditions</w:t>
      </w:r>
    </w:p>
    <w:p>
      <w:pPr>
        <w:pStyle w:val="Normal"/>
      </w:pPr>
      <w:r>
        <w:rPr/>
        <w:t xml:space="preserve">Niveaux de données (reprendre la classification existante de l'organisation) :</w:t>
      </w:r>
    </w:p>
    <w:p>
      <w:pPr>
        <w:pStyle w:val="Normal"/>
      </w:pPr>
      <w:r>
        <w:rPr/>
        <w:t xml:space="preserve">public        publié ou publiable</w:t>
      </w:r>
    </w:p>
    <w:p>
      <w:pPr>
        <w:pStyle w:val="Normal"/>
      </w:pPr>
      <w:r>
        <w:rPr/>
        <w:t xml:space="preserve">interne       diffusion interne sans dommage notable</w:t>
      </w:r>
    </w:p>
    <w:p>
      <w:pPr>
        <w:pStyle w:val="Normal"/>
      </w:pPr>
      <w:r>
        <w:rPr/>
        <w:t xml:space="preserve">confidentiel  contrats, finances, stratégie, code source</w:t>
      </w:r>
    </w:p>
    <w:p>
      <w:pPr>
        <w:pStyle w:val="Normal"/>
      </w:pPr>
      <w:r>
        <w:rPr/>
        <w:t xml:space="preserve">personnel     toute donnée sur une personne identifiable, quelle que soit sa confidentialité</w:t>
      </w:r>
    </w:p>
    <w:p>
      <w:pPr>
        <w:pStyle w:val="Normal"/>
      </w:pPr>
      <w:r>
        <w:rPr/>
        <w:t xml:space="preserve">sensible      catégories particulières de l’art. 9 RGPD, dont les données de santé</w:t>
      </w:r>
    </w:p>
    <w:p>
      <w:pPr>
        <w:pStyle w:val="Normal"/>
      </w:pPr>
      <w:r>
        <w:rPr/>
        <w:t xml:space="preserve">Les mentions « personnel » et « sensible » sont des catégories juridiques, pas des niveaux
successifs de confidentialité. Les croiser avec public / interne / confidentiel pour chaque outil.</w:t>
      </w:r>
    </w:p>
    <w:sectPr>
      <w:pgSz w:w="16838" w:h="11906" w:orient="landscape"/>
      <w:pgMar w:top="850" w:right="850" w:bottom="850" w:left="850"/>
    </w:sectPr>
  </w:body>
</w:document>
</file>

<file path=word/styles.xml><?xml version="1.0" encoding="utf-8"?>
<w:styles xmlns:w="http://schemas.openxmlformats.org/wordprocessingml/2006/main">
  <w:docDefaults>
    <w:rPrDefault>
      <w:rPr>
        <w:rFonts w:ascii="Calibri" w:hAnsi="Calibri"/>
        <w:sz w:val="22"/>
        <w:lang w:val="fr-FR"/>
      </w:rPr>
    </w:rPrDefault>
    <w:pPrDefault>
      <w:pPr>
        <w:spacing w:after="120"/>
      </w:pPr>
    </w:pPrDefault>
  </w:docDefaults>
  <w:style w:type="paragraph" w:default="1" w:styleId="Normal">
    <w:name w:val="Normal"/>
  </w:style>
  <w:style w:type="paragraph" w:styleId="Title">
    <w:name w:val="Title"/>
    <w:pPr>
      <w:keepNext/>
    </w:pPr>
    <w:rPr>
      <w:b/>
      <w:sz w:val="36"/>
    </w:rPr>
  </w:style>
  <w:style w:type="paragraph" w:styleId="Heading">
    <w:name w:val="Heading"/>
    <w:pPr>
      <w:keepNext/>
      <w:spacing w:before="240"/>
    </w:pPr>
    <w:rPr>
      <w:b/>
      <w:sz w:val="26"/>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s>
</file>