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6 : déclaration d'applicabilité</w:t>
      </w:r>
    </w:p>
    <w:p>
      <w:pPr>
        <w:pStyle w:val="Normal"/>
      </w:pPr>
      <w:r>
        <w:rPr/>
        <w:t xml:space="preserve">Version             n°, date, approuvée par (direction), lien vers le registre des risques
Revue               à chaque revue du registre (modèle 3) et à chaque revue de direction (9.3)</w:t>
      </w:r>
    </w:p>
    <w:p>
      <w:pPr>
        <w:pStyle w:val="Normal"/>
      </w:pPr>
      <w:r>
        <w:rPr/>
        <w:t xml:space="preserve">ID       intitulé                  incluse / exclue      état</w:t>
      </w:r>
    </w:p>
    <w:p>
      <w:pPr>
        <w:pStyle w:val="Normal"/>
      </w:pPr>
      <w:r>
        <w:rPr/>
        <w:t xml:space="preserve">         justification ; référence au document ou à la preuve ; échéance si non mis en œuvre</w:t>
      </w:r>
    </w:p>
    <w:p>
      <w:pPr>
        <w:pStyle w:val="Normal"/>
      </w:pPr>
      <w:r>
        <w:rPr/>
        <w:t xml:space="preserve">Mesures ajoutées : numérotées M.1, M.2... ; source (autre norme, risque, exigence légale).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