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Modèle 9 : fiche jeu de données</w:t>
      </w:r>
    </w:p>
    <w:p>
      <w:pPr>
        <w:pStyle w:val="Normal"/>
      </w:pPr>
      <w:r>
        <w:rPr/>
        <w:t xml:space="preserve">Jeu                 nom, version, date de gel, propriétaire
Systèmes            systèmes et versions de modèle qui l'utilisent (modèle 8)</w:t>
      </w:r>
    </w:p>
    <w:p>
      <w:pPr>
        <w:pStyle w:val="Heading"/>
      </w:pPr>
      <w:r>
        <w:rPr/>
        <w:t xml:space="preserve">Usage (A.7.2)</w:t>
      </w:r>
    </w:p>
    <w:p>
      <w:pPr>
        <w:pStyle w:val="Normal"/>
      </w:pPr>
      <w:r>
        <w:rPr/>
        <w:t xml:space="preserve">Finalité            entraînement, validation, test, réentraînement</w:t>
      </w:r>
    </w:p>
    <w:p>
      <w:pPr>
        <w:pStyle w:val="Normal"/>
      </w:pPr>
      <w:r>
        <w:rPr/>
        <w:t xml:space="preserve">Usages exclus       ce que ce jeu ne doit pas servir à faire</w:t>
      </w:r>
    </w:p>
    <w:p>
      <w:pPr>
        <w:pStyle w:val="Normal"/>
      </w:pPr>
      <w:r>
        <w:rPr/>
        <w:t xml:space="preserve">Composition         une ligne = quoi ; volumétrie ; période ; variables ; étiquette</w:t>
      </w:r>
    </w:p>
    <w:p>
      <w:pPr>
        <w:pStyle w:val="Heading"/>
      </w:pPr>
      <w:r>
        <w:rPr/>
        <w:t xml:space="preserve">Acquisition et droits (A.7.3)</w:t>
      </w:r>
    </w:p>
    <w:p>
      <w:pPr>
        <w:pStyle w:val="Normal"/>
      </w:pPr>
      <w:r>
        <w:rPr/>
        <w:t xml:space="preserve">Sources             internes, externes ; pour chacune : contrat ou licence</w:t>
      </w:r>
    </w:p>
    <w:p>
      <w:pPr>
        <w:pStyle w:val="Normal"/>
      </w:pPr>
      <w:r>
        <w:rPr/>
        <w:t xml:space="preserve">Base légale         art. 6 RGPD ; exception art. 9 si données de santé</w:t>
      </w:r>
    </w:p>
    <w:p>
      <w:pPr>
        <w:pStyle w:val="Normal"/>
      </w:pPr>
      <w:r>
        <w:rPr/>
        <w:t xml:space="preserve">Compatibilité       test art. 6.4 si réutilisation ; conclusion</w:t>
      </w:r>
    </w:p>
    <w:p>
      <w:pPr>
        <w:pStyle w:val="Normal"/>
      </w:pPr>
      <w:r>
        <w:rPr/>
        <w:t xml:space="preserve">Information         comment les personnes ont été informées</w:t>
      </w:r>
    </w:p>
    <w:p>
      <w:pPr>
        <w:pStyle w:val="Normal"/>
      </w:pPr>
      <w:r>
        <w:rPr/>
        <w:t xml:space="preserve">AIPD                référence, date, avis DPO</w:t>
      </w:r>
    </w:p>
    <w:p>
      <w:pPr>
        <w:pStyle w:val="Normal"/>
      </w:pPr>
      <w:r>
        <w:rPr/>
        <w:t xml:space="preserve">Minimisation        variables écartées, pseudonymisation</w:t>
      </w:r>
    </w:p>
    <w:p>
      <w:pPr>
        <w:pStyle w:val="Heading"/>
      </w:pPr>
      <w:r>
        <w:rPr/>
        <w:t xml:space="preserve">Qualité (A.7.4)</w:t>
      </w:r>
    </w:p>
    <w:p>
      <w:pPr>
        <w:pStyle w:val="Normal"/>
      </w:pPr>
      <w:r>
        <w:rPr/>
        <w:t xml:space="preserve">Critère             définition, seuil, mesure, résultat</w:t>
      </w:r>
    </w:p>
    <w:p>
      <w:pPr>
        <w:pStyle w:val="Normal"/>
      </w:pPr>
      <w:r>
        <w:rPr/>
        <w:t xml:space="preserve">Représentativité    répartition par groupe dans le jeu et dans la population servie</w:t>
      </w:r>
    </w:p>
    <w:p>
      <w:pPr>
        <w:pStyle w:val="Normal"/>
      </w:pPr>
      <w:r>
        <w:rPr/>
        <w:t xml:space="preserve">Biais connus        groupes sous-représentés, étiquettes historiques biaisées, correctif</w:t>
      </w:r>
    </w:p>
    <w:p>
      <w:pPr>
        <w:pStyle w:val="Heading"/>
      </w:pPr>
      <w:r>
        <w:rPr/>
        <w:t xml:space="preserve">Provenance et versions (A.7.5)</w:t>
      </w:r>
    </w:p>
    <w:p>
      <w:pPr>
        <w:pStyle w:val="Normal"/>
      </w:pPr>
      <w:r>
        <w:rPr/>
        <w:t xml:space="preserve">Extraction          système source, requête ou script, date, auteur</w:t>
      </w:r>
    </w:p>
    <w:p>
      <w:pPr>
        <w:pStyle w:val="Normal"/>
      </w:pPr>
      <w:r>
        <w:rPr/>
        <w:t xml:space="preserve">Version             n°, empreinte (hash), lieu de stockage, accès</w:t>
      </w:r>
    </w:p>
    <w:p>
      <w:pPr>
        <w:pStyle w:val="Normal"/>
      </w:pPr>
      <w:r>
        <w:rPr/>
        <w:t xml:space="preserve">Historique          version, date, changement, raison</w:t>
      </w:r>
    </w:p>
    <w:p>
      <w:pPr>
        <w:pStyle w:val="Heading"/>
      </w:pPr>
      <w:r>
        <w:rPr/>
        <w:t xml:space="preserve">Préparation (A.7.6)</w:t>
      </w:r>
    </w:p>
    <w:p>
      <w:pPr>
        <w:pStyle w:val="Normal"/>
      </w:pPr>
      <w:r>
        <w:rPr/>
        <w:t xml:space="preserve">Nettoyage           règles d'exclusion, nombre de lignes exclues par règle</w:t>
      </w:r>
    </w:p>
    <w:p>
      <w:pPr>
        <w:pStyle w:val="Normal"/>
      </w:pPr>
      <w:r>
        <w:rPr/>
        <w:t xml:space="preserve">Transformations     scripts versionnés, référence du commit</w:t>
      </w:r>
    </w:p>
    <w:p>
      <w:pPr>
        <w:pStyle w:val="Normal"/>
      </w:pPr>
      <w:r>
        <w:rPr/>
        <w:t xml:space="preserve">Étiquetage          définition de l'étiquette, consignes, annotateurs, contrôle d'accord</w:t>
      </w:r>
    </w:p>
    <w:p>
      <w:pPr>
        <w:pStyle w:val="Normal"/>
      </w:pPr>
      <w:r>
        <w:rPr/>
        <w:t xml:space="preserve">Découpage           entraînement, validation, test ; règle de séparation</w:t>
      </w:r>
    </w:p>
    <w:p>
      <w:pPr>
        <w:pStyle w:val="Heading"/>
      </w:pPr>
      <w:r>
        <w:rPr/>
        <w:t xml:space="preserve">Conservation et suppression</w:t>
      </w:r>
    </w:p>
    <w:p>
      <w:pPr>
        <w:pStyle w:val="Normal"/>
      </w:pPr>
      <w:r>
        <w:rPr/>
        <w:t xml:space="preserve">Durée               durée, justification, suppression ou anonymisation à l'échéance</w:t>
      </w:r>
    </w:p>
    <w:sectPr>
      <w:pgSz w:w="16838" w:h="11906" w:orient="landscape"/>
      <w:pgMar w:top="850" w:right="850" w:bottom="850" w:left="85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fr-FR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pPr>
      <w:keepNext/>
    </w:pPr>
    <w:rPr>
      <w:b/>
      <w:sz w:val="36"/>
    </w:rPr>
  </w:style>
  <w:style w:type="paragraph" w:styleId="Heading">
    <w:name w:val="Heading"/>
    <w:pPr>
      <w:keepNext/>
      <w:spacing w:before="24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styles" Type="http://schemas.openxmlformats.org/officeDocument/2006/relationships/styles" Target="styles.xml"/></Relationships>
</file>