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Modèle 11 : procédure de gestion d'incident IA</w:t>
      </w:r>
    </w:p>
    <w:p>
      <w:pPr>
        <w:pStyle w:val="Normal"/>
      </w:pPr>
      <w:r>
        <w:rPr/>
        <w:t xml:space="preserve">Procédure           n°, version, date, validée par, prochaine revue
Propriétaire        référent IA ; suppléant
Canaux d'entrée     interne (A.3.3), externe (A.8.3), surveillance (A.6.2.6), audits</w:t>
      </w:r>
    </w:p>
    <w:p>
      <w:pPr>
        <w:pStyle w:val="Heading"/>
      </w:pPr>
      <w:r>
        <w:rPr/>
        <w:t xml:space="preserve">Étapes</w:t>
      </w:r>
    </w:p>
    <w:p>
      <w:pPr>
        <w:pStyle w:val="Normal"/>
      </w:pPr>
      <w:r>
        <w:rPr/>
        <w:t xml:space="preserve">1 Détection        qui peut signaler, par quel canal ; alertes de surveillance (seuils de dérive,</w:t>
      </w:r>
    </w:p>
    <w:p>
      <w:pPr>
        <w:pStyle w:val="Normal"/>
      </w:pPr>
      <w:r>
        <w:rPr/>
        <w:t xml:space="preserve">                   taux de réclamation) ; accusé de réception sous n h</w:t>
      </w:r>
    </w:p>
    <w:p>
      <w:pPr>
        <w:pStyle w:val="Normal"/>
      </w:pPr>
      <w:r>
        <w:rPr/>
        <w:t xml:space="preserve">2 Qualification    type, système, version, gravité G1 à G4, données personnelles oui / non ;</w:t>
      </w:r>
    </w:p>
    <w:p>
      <w:pPr>
        <w:pStyle w:val="Normal"/>
      </w:pPr>
      <w:r>
        <w:rPr/>
        <w:t xml:space="preserve">                   ouverture de la fiche d'incident ; délai de qualification</w:t>
      </w:r>
    </w:p>
    <w:p>
      <w:pPr>
        <w:pStyle w:val="Normal"/>
      </w:pPr>
      <w:r>
        <w:rPr/>
        <w:t xml:space="preserve">3 Confinement      options dans l'ordre : restreindre l'usage, remettre un humain dans la boucle,</w:t>
      </w:r>
    </w:p>
    <w:p>
      <w:pPr>
        <w:pStyle w:val="Normal"/>
      </w:pPr>
      <w:r>
        <w:rPr/>
        <w:t xml:space="preserve">                   retour à la version précédente, arrêt ; qui peut décider l'arrêt sans attendre</w:t>
      </w:r>
    </w:p>
    <w:p>
      <w:pPr>
        <w:pStyle w:val="Normal"/>
      </w:pPr>
      <w:r>
        <w:rPr/>
        <w:t xml:space="preserve">4 Analyse          chronologie horodatée, preuves conservées (journaux A.6.2.8, prompts, sorties),</w:t>
      </w:r>
    </w:p>
    <w:p>
      <w:pPr>
        <w:pStyle w:val="Normal"/>
      </w:pPr>
      <w:r>
        <w:rPr/>
        <w:t xml:space="preserve">                   cause racine (5 pourquoi ou arbre des causes), autres systèmes exposés</w:t>
      </w:r>
    </w:p>
    <w:p>
      <w:pPr>
        <w:pStyle w:val="Normal"/>
      </w:pPr>
      <w:r>
        <w:rPr/>
        <w:t xml:space="preserve">5 Communication    interne, personnes concernées, fournisseur, autorités (tableau ci-dessous)</w:t>
      </w:r>
    </w:p>
    <w:p>
      <w:pPr>
        <w:pStyle w:val="Normal"/>
      </w:pPr>
      <w:r>
        <w:rPr/>
        <w:t xml:space="preserve">6 Correction       correction immédiate puis action corrective sur la cause (10.2), suivie au</w:t>
      </w:r>
    </w:p>
    <w:p>
      <w:pPr>
        <w:pStyle w:val="Normal"/>
      </w:pPr>
      <w:r>
        <w:rPr/>
        <w:t xml:space="preserve">                   registre des non-conformités (modèle 13)</w:t>
      </w:r>
    </w:p>
    <w:p>
      <w:pPr>
        <w:pStyle w:val="Normal"/>
      </w:pPr>
      <w:r>
        <w:rPr/>
        <w:t xml:space="preserve">7 Retour d'expérience  sous n semaines : mise à jour du registre des risques, de l'évaluation</w:t>
      </w:r>
    </w:p>
    <w:p>
      <w:pPr>
        <w:pStyle w:val="Normal"/>
      </w:pPr>
      <w:r>
        <w:rPr/>
        <w:t xml:space="preserve">                   d'impact, des tests, de la formation ; synthèse en revue de direction (9.3)</w:t>
      </w:r>
    </w:p>
    <w:p>
      <w:pPr>
        <w:pStyle w:val="Heading"/>
      </w:pPr>
      <w:r>
        <w:rPr/>
        <w:t xml:space="preserve">Qui notifie qui, dans quel délai</w:t>
      </w:r>
    </w:p>
    <w:p>
      <w:pPr>
        <w:pStyle w:val="Normal"/>
      </w:pPr>
      <w:r>
        <w:rPr/>
        <w:t xml:space="preserve">AI Act art. 73        fournisseur d'un système à haut risque -&gt; autorité de surveillance du marché</w:t>
      </w:r>
    </w:p>
    <w:p>
      <w:pPr>
        <w:pStyle w:val="Normal"/>
      </w:pPr>
      <w:r>
        <w:rPr/>
        <w:t xml:space="preserve">                      de l'État membre où l'incident a eu lieu ; dès le lien de causalité établi</w:t>
      </w:r>
    </w:p>
    <w:p>
      <w:pPr>
        <w:pStyle w:val="Normal"/>
      </w:pPr>
      <w:r>
        <w:rPr/>
        <w:t xml:space="preserve">                      ou raisonnablement probable, au plus tard :</w:t>
      </w:r>
    </w:p>
    <w:p>
      <w:pPr>
        <w:pStyle w:val="Normal"/>
      </w:pPr>
      <w:r>
        <w:rPr/>
        <w:t xml:space="preserve">                          15 jours    cas général, après connaissance de l'incident grave</w:t>
      </w:r>
    </w:p>
    <w:p>
      <w:pPr>
        <w:pStyle w:val="Normal"/>
      </w:pPr>
      <w:r>
        <w:rPr/>
        <w:t xml:space="preserve">                          10 jours    en cas de décès</w:t>
      </w:r>
    </w:p>
    <w:p>
      <w:pPr>
        <w:pStyle w:val="Normal"/>
      </w:pPr>
      <w:r>
        <w:rPr/>
        <w:t xml:space="preserve">                           2 jours    infraction de grande ampleur ou perturbation grave et</w:t>
      </w:r>
    </w:p>
    <w:p>
      <w:pPr>
        <w:pStyle w:val="Normal"/>
      </w:pPr>
      <w:r>
        <w:rPr/>
        <w:t xml:space="preserve">                                      irréversible d’une infrastructure critique</w:t>
      </w:r>
    </w:p>
    <w:p>
      <w:pPr>
        <w:pStyle w:val="Normal"/>
      </w:pPr>
      <w:r>
        <w:rPr/>
        <w:t xml:space="preserve">                      rapport initial incomplet admis, complété ensuite</w:t>
      </w:r>
    </w:p>
    <w:p>
      <w:pPr>
        <w:pStyle w:val="Normal"/>
      </w:pPr>
      <w:r>
        <w:rPr/>
        <w:t xml:space="preserve">AI Act art. 26 § 5    déployeur -&gt; en cas d’incident grave, informe immédiatement d’abord</w:t>
      </w:r>
    </w:p>
    <w:p>
      <w:pPr>
        <w:pStyle w:val="Normal"/>
      </w:pPr>
      <w:r>
        <w:rPr/>
        <w:t xml:space="preserve">                      le fournisseur, puis l’importateur ou le distributeur et les autorités</w:t>
      </w:r>
    </w:p>
    <w:p>
      <w:pPr>
        <w:pStyle w:val="Normal"/>
      </w:pPr>
      <w:r>
        <w:rPr/>
        <w:t xml:space="preserve">                      de surveillance du marché concernées</w:t>
      </w:r>
    </w:p>
    <w:p>
      <w:pPr>
        <w:pStyle w:val="Normal"/>
      </w:pPr>
      <w:r>
        <w:rPr/>
        <w:t xml:space="preserve">Calendrier AI Act     règlement (UE) 2024/1689 modifié par 2026/1744 (en vigueur le 27 juillet 2026) :</w:t>
      </w:r>
    </w:p>
    <w:p>
      <w:pPr>
        <w:pStyle w:val="Normal"/>
      </w:pPr>
      <w:r>
        <w:rPr/>
        <w:t xml:space="preserve">                      obligations haut risque au 2 décembre 2027 (annexe III), 2 août 2028 (annexe I)</w:t>
      </w:r>
    </w:p>
    <w:p>
      <w:pPr>
        <w:pStyle w:val="Normal"/>
      </w:pPr>
      <w:r>
        <w:rPr/>
        <w:t xml:space="preserve">RGPD art. 33          responsable de traitement -&gt; autorité compétente (CNIL en France),</w:t>
      </w:r>
    </w:p>
    <w:p>
      <w:pPr>
        <w:pStyle w:val="Normal"/>
      </w:pPr>
      <w:r>
        <w:rPr/>
        <w:t xml:space="preserve">                      sans délai injustifié, si possible sous 72 h après connaissance,</w:t>
      </w:r>
    </w:p>
    <w:p>
      <w:pPr>
        <w:pStyle w:val="Normal"/>
      </w:pPr>
      <w:r>
        <w:rPr/>
        <w:t xml:space="preserve">                      sauf risque improbable pour les personnes (décision documentée) ;</w:t>
      </w:r>
    </w:p>
    <w:p>
      <w:pPr>
        <w:pStyle w:val="Normal"/>
      </w:pPr>
      <w:r>
        <w:rPr/>
        <w:t xml:space="preserve">                      sous-traitant -&gt; responsable</w:t>
      </w:r>
    </w:p>
    <w:p>
      <w:pPr>
        <w:pStyle w:val="Normal"/>
      </w:pPr>
      <w:r>
        <w:rPr/>
        <w:t xml:space="preserve">                      sans délai excessif (délai chiffré au contrat)</w:t>
      </w:r>
    </w:p>
    <w:p>
      <w:pPr>
        <w:pStyle w:val="Normal"/>
      </w:pPr>
      <w:r>
        <w:rPr/>
        <w:t xml:space="preserve">RGPD art. 34          responsable -&gt; personnes concernées, sans délai injustifié si risque élevé,</w:t>
      </w:r>
    </w:p>
    <w:p>
      <w:pPr>
        <w:pStyle w:val="Normal"/>
      </w:pPr>
      <w:r>
        <w:rPr/>
        <w:t xml:space="preserve">                      sous réserve des exceptions de l’art. 34 § 3</w:t>
      </w:r>
    </w:p>
    <w:p>
      <w:pPr>
        <w:pStyle w:val="Normal"/>
      </w:pPr>
      <w:r>
        <w:rPr/>
        <w:t xml:space="preserve">ACPR                  si applicable : incident TIC majeur au sens de DORA (règlement 2022/2554)</w:t>
      </w:r>
    </w:p>
    <w:p>
      <w:pPr>
        <w:pStyle w:val="Normal"/>
      </w:pPr>
      <w:r>
        <w:rPr/>
        <w:t xml:space="preserve">                      pour les mutuelles soumises à Solvabilité II ; délais à confirmer</w:t>
      </w:r>
    </w:p>
    <w:p>
      <w:pPr>
        <w:pStyle w:val="Normal"/>
      </w:pPr>
      <w:r>
        <w:rPr/>
        <w:t xml:space="preserve">                      sur les normes techniques en vigueur</w:t>
      </w:r>
    </w:p>
    <w:p>
      <w:pPr>
        <w:pStyle w:val="Normal"/>
      </w:pPr>
      <w:r>
        <w:rPr/>
        <w:t xml:space="preserve">Interne               propriétaire, référent IA, DPO, RSSI, DG selon gravité</w:t>
      </w:r>
    </w:p>
    <w:p>
      <w:pPr>
        <w:pStyle w:val="Heading"/>
      </w:pPr>
      <w:r>
        <w:rPr/>
        <w:t xml:space="preserve">Fiche d'incident</w:t>
      </w:r>
    </w:p>
    <w:p>
      <w:pPr>
        <w:pStyle w:val="Normal"/>
      </w:pPr>
      <w:r>
        <w:rPr/>
        <w:t xml:space="preserve">ID, date d'ouverture, déclarant, canal</w:t>
      </w:r>
    </w:p>
    <w:p>
      <w:pPr>
        <w:pStyle w:val="Normal"/>
      </w:pPr>
      <w:r>
        <w:rPr/>
        <w:t xml:space="preserve">Système, version, fournisseur ; type, gravité, données personnelles</w:t>
      </w:r>
    </w:p>
    <w:p>
      <w:pPr>
        <w:pStyle w:val="Normal"/>
      </w:pPr>
      <w:r>
        <w:rPr/>
        <w:t xml:space="preserve">Chronologie         date et heure, fait, qui</w:t>
      </w:r>
    </w:p>
    <w:p>
      <w:pPr>
        <w:pStyle w:val="Normal"/>
      </w:pPr>
      <w:r>
        <w:rPr/>
        <w:t xml:space="preserve">Confinement         mesure, décidée par, date</w:t>
      </w:r>
    </w:p>
    <w:p>
      <w:pPr>
        <w:pStyle w:val="Normal"/>
      </w:pPr>
      <w:r>
        <w:rPr/>
        <w:t xml:space="preserve">Cause racine</w:t>
      </w:r>
    </w:p>
    <w:p>
      <w:pPr>
        <w:pStyle w:val="Normal"/>
      </w:pPr>
      <w:r>
        <w:rPr/>
        <w:t xml:space="preserve">Notifications       destinataire, date, référence ; ou motif de non-notification</w:t>
      </w:r>
    </w:p>
    <w:p>
      <w:pPr>
        <w:pStyle w:val="Normal"/>
      </w:pPr>
      <w:r>
        <w:rPr/>
        <w:t xml:space="preserve">Actions             correction, action corrective (renvoi modèle 13), responsable, échéance</w:t>
      </w:r>
    </w:p>
    <w:p>
      <w:pPr>
        <w:pStyle w:val="Normal"/>
      </w:pPr>
      <w:r>
        <w:rPr/>
        <w:t xml:space="preserve">Retour d'expérience risques mis à jour, tests ajoutés, clôture par, date</w:t>
      </w:r>
    </w:p>
    <w:p>
      <w:pPr>
        <w:pStyle w:val="Heading"/>
      </w:pPr>
      <w:r>
        <w:rPr/>
        <w:t xml:space="preserve">Test du plan (A.8.4)</w:t>
      </w:r>
    </w:p>
    <w:p>
      <w:pPr>
        <w:pStyle w:val="Normal"/>
      </w:pPr>
      <w:r>
        <w:rPr/>
        <w:t xml:space="preserve">Exercice            scénario, date, participants</w:t>
      </w:r>
    </w:p>
    <w:p>
      <w:pPr>
        <w:pStyle w:val="Normal"/>
      </w:pPr>
      <w:r>
        <w:rPr/>
        <w:t xml:space="preserve">Résultat            délais tenus ? bons destinataires ? message compris ?</w:t>
      </w:r>
    </w:p>
    <w:p>
      <w:pPr>
        <w:pStyle w:val="Normal"/>
      </w:pPr>
      <w:r>
        <w:rPr/>
        <w:t xml:space="preserve">Suite               écarts, actions, mise à jour de la procédure</w:t>
      </w:r>
    </w:p>
    <w:p>
      <w:pPr>
        <w:pStyle w:val="Normal"/>
      </w:pPr>
      <w:r>
        <w:rPr/>
        <w:t xml:space="preserve">Fréquence           choix de l'organisation, par exemple une fois par an</w:t>
      </w:r>
    </w:p>
    <w:sectPr>
      <w:pgSz w:w="16838" w:h="11906" w:orient="landscape"/>
      <w:pgMar w:top="850" w:right="850" w:bottom="850" w:left="85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fr-FR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pPr>
      <w:keepNext/>
    </w:pPr>
    <w:rPr>
      <w:b/>
      <w:sz w:val="36"/>
    </w:rPr>
  </w:style>
  <w:style w:type="paragraph" w:styleId="Heading">
    <w:name w:val="Heading"/>
    <w:pPr>
      <w:keepNext/>
      <w:spacing w:before="24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/Relationships>
</file>